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B24" w:rsidRDefault="00034B24" w:rsidP="00034B24">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STICHTING STOP WINDTURBINES GEINGEBIED</w:t>
      </w:r>
      <w:bookmarkStart w:id="0" w:name="_GoBack"/>
      <w:bookmarkEnd w:id="0"/>
    </w:p>
    <w:p w:rsidR="00034B24" w:rsidRDefault="00034B24" w:rsidP="00034B24">
      <w:pPr>
        <w:rPr>
          <w:rFonts w:ascii="Calibri" w:eastAsia="Times New Roman" w:hAnsi="Calibri" w:cs="Calibri"/>
          <w:color w:val="000000"/>
          <w:sz w:val="22"/>
          <w:szCs w:val="22"/>
          <w:lang w:eastAsia="nl-NL"/>
        </w:rPr>
      </w:pPr>
    </w:p>
    <w:p w:rsidR="00034B24" w:rsidRDefault="00034B24" w:rsidP="00034B24">
      <w:pPr>
        <w:rPr>
          <w:rFonts w:ascii="Calibri" w:eastAsia="Times New Roman" w:hAnsi="Calibri" w:cs="Calibri"/>
          <w:color w:val="000000"/>
          <w:sz w:val="22"/>
          <w:szCs w:val="22"/>
          <w:lang w:eastAsia="nl-NL"/>
        </w:rPr>
      </w:pPr>
    </w:p>
    <w:p w:rsidR="00034B24" w:rsidRDefault="00034B24" w:rsidP="00034B24">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Inspraak door Maarten van Dijk (Abcoude) op de raadsvergadering </w:t>
      </w:r>
      <w:proofErr w:type="spellStart"/>
      <w:r>
        <w:rPr>
          <w:rFonts w:ascii="Calibri" w:eastAsia="Times New Roman" w:hAnsi="Calibri" w:cs="Calibri"/>
          <w:color w:val="000000"/>
          <w:sz w:val="22"/>
          <w:szCs w:val="22"/>
          <w:lang w:eastAsia="nl-NL"/>
        </w:rPr>
        <w:t>dd</w:t>
      </w:r>
      <w:proofErr w:type="spellEnd"/>
      <w:r>
        <w:rPr>
          <w:rFonts w:ascii="Calibri" w:eastAsia="Times New Roman" w:hAnsi="Calibri" w:cs="Calibri"/>
          <w:color w:val="000000"/>
          <w:sz w:val="22"/>
          <w:szCs w:val="22"/>
          <w:lang w:eastAsia="nl-NL"/>
        </w:rPr>
        <w:t xml:space="preserve"> 1 oktober 2020, namens Stichting Stop Windturbines Geingebied.</w:t>
      </w:r>
    </w:p>
    <w:p w:rsidR="00034B24" w:rsidRDefault="00034B24" w:rsidP="00034B24">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De gesproken tekst is een bloemlezing uit het onderstaande. De onderstaande vragen/punten behoeven alle aandacht, vandaar tevoren ingediend. Bij Deze.</w:t>
      </w:r>
    </w:p>
    <w:p w:rsidR="00034B24" w:rsidRDefault="00034B24" w:rsidP="00034B24">
      <w:pPr>
        <w:rPr>
          <w:rFonts w:ascii="Calibri" w:eastAsia="Times New Roman" w:hAnsi="Calibri" w:cs="Calibri"/>
          <w:color w:val="000000"/>
          <w:sz w:val="22"/>
          <w:szCs w:val="22"/>
          <w:lang w:eastAsia="nl-NL"/>
        </w:rPr>
      </w:pP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xml:space="preserve">Om tot planologische besluitvorming ten behoeve van het plaatsen van windmolens over te kunnen gaan is het noodzakelijk dat er onderzoek wordt gedaan naar de geschiktheid van de locaties (voor wat betreft milieu, planologie, natuur, </w:t>
      </w:r>
      <w:proofErr w:type="spellStart"/>
      <w:r w:rsidRPr="00034B24">
        <w:rPr>
          <w:rFonts w:ascii="Calibri" w:eastAsia="Times New Roman" w:hAnsi="Calibri" w:cs="Calibri"/>
          <w:color w:val="000000"/>
          <w:sz w:val="22"/>
          <w:szCs w:val="22"/>
          <w:lang w:eastAsia="nl-NL"/>
        </w:rPr>
        <w:t>cultuur-historie</w:t>
      </w:r>
      <w:proofErr w:type="spellEnd"/>
      <w:r w:rsidRPr="00034B24">
        <w:rPr>
          <w:rFonts w:ascii="Calibri" w:eastAsia="Times New Roman" w:hAnsi="Calibri" w:cs="Calibri"/>
          <w:color w:val="000000"/>
          <w:sz w:val="22"/>
          <w:szCs w:val="22"/>
          <w:lang w:eastAsia="nl-NL"/>
        </w:rPr>
        <w:t>, gezondheid, haalbaarheid enz., Dit is noodzakelijk voor wat betreft het verplichte MER-onderzoek en voor wat betreft de verplichte ruimtelijke onderbouwing.</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Wij begrijpen van het college dat er tot dusver geen onderzoek heeft plaatsgevonden naar de geschiktheid van locaties voor het plaatsen van de windturbines. Mocht dat onjuist zijn dan ontvangen wij graag alsnog deze onderzoeken. </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Mocht dit onderzoek inderdaad nog moeten worden uitgevoerd, dan verzoeken wij u voorts om de belanghebbenden (waaronder Stichting stop windturbines Gein) te betrekken bij de onderzoeksopdracht ten behoeve van het onderzoek dat zal worden uitgevoerd naar de geschiktheid van locaties voor het plaatsen van de windturbines.</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Stichting stop windturbines Gein maakt zich zorgen over de huidige besluitvorming en heeft voorts o.a. de navolgende vragen:</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Is het B&amp;W bekend dat:</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de gemeente een deel van het </w:t>
      </w:r>
      <w:r w:rsidRPr="00034B24">
        <w:rPr>
          <w:rFonts w:ascii="Calibri" w:eastAsia="Times New Roman" w:hAnsi="Calibri" w:cs="Calibri"/>
          <w:color w:val="000080"/>
          <w:sz w:val="22"/>
          <w:szCs w:val="22"/>
          <w:lang w:eastAsia="nl-NL"/>
        </w:rPr>
        <w:t>Unesco </w:t>
      </w:r>
      <w:r w:rsidRPr="00034B24">
        <w:rPr>
          <w:rFonts w:ascii="Calibri" w:eastAsia="Times New Roman" w:hAnsi="Calibri" w:cs="Calibri"/>
          <w:color w:val="000000"/>
          <w:sz w:val="22"/>
          <w:szCs w:val="22"/>
          <w:lang w:eastAsia="nl-NL"/>
        </w:rPr>
        <w:t>erkend werelderfgoed van de </w:t>
      </w:r>
      <w:r w:rsidRPr="00034B24">
        <w:rPr>
          <w:rFonts w:ascii="Calibri" w:eastAsia="Times New Roman" w:hAnsi="Calibri" w:cs="Calibri"/>
          <w:color w:val="000080"/>
          <w:sz w:val="22"/>
          <w:szCs w:val="22"/>
          <w:lang w:eastAsia="nl-NL"/>
        </w:rPr>
        <w:t>Stelling van Amsterdam </w:t>
      </w:r>
      <w:r w:rsidRPr="00034B24">
        <w:rPr>
          <w:rFonts w:ascii="Calibri" w:eastAsia="Times New Roman" w:hAnsi="Calibri" w:cs="Calibri"/>
          <w:color w:val="000000"/>
          <w:sz w:val="22"/>
          <w:szCs w:val="22"/>
          <w:lang w:eastAsia="nl-NL"/>
        </w:rPr>
        <w:t>herbergt,</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de uitbreiding daarvan met de </w:t>
      </w:r>
      <w:r w:rsidRPr="00034B24">
        <w:rPr>
          <w:rFonts w:ascii="Calibri" w:eastAsia="Times New Roman" w:hAnsi="Calibri" w:cs="Calibri"/>
          <w:color w:val="000080"/>
          <w:sz w:val="22"/>
          <w:szCs w:val="22"/>
          <w:lang w:eastAsia="nl-NL"/>
        </w:rPr>
        <w:t>Nieuwe Hollandse Waterlinie </w:t>
      </w:r>
      <w:r w:rsidRPr="00034B24">
        <w:rPr>
          <w:rFonts w:ascii="Calibri" w:eastAsia="Times New Roman" w:hAnsi="Calibri" w:cs="Calibri"/>
          <w:color w:val="000000"/>
          <w:sz w:val="22"/>
          <w:szCs w:val="22"/>
          <w:lang w:eastAsia="nl-NL"/>
        </w:rPr>
        <w:t>door het Rijk is </w:t>
      </w:r>
      <w:r w:rsidRPr="00034B24">
        <w:rPr>
          <w:rFonts w:ascii="Calibri" w:eastAsia="Times New Roman" w:hAnsi="Calibri" w:cs="Calibri"/>
          <w:color w:val="000080"/>
          <w:sz w:val="22"/>
          <w:szCs w:val="22"/>
          <w:lang w:eastAsia="nl-NL"/>
        </w:rPr>
        <w:t>genomineerd </w:t>
      </w:r>
      <w:r w:rsidRPr="00034B24">
        <w:rPr>
          <w:rFonts w:ascii="Calibri" w:eastAsia="Times New Roman" w:hAnsi="Calibri" w:cs="Calibri"/>
          <w:color w:val="000000"/>
          <w:sz w:val="22"/>
          <w:szCs w:val="22"/>
          <w:lang w:eastAsia="nl-NL"/>
        </w:rPr>
        <w:t>bij de Unesco,</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de gemeente die nominatie </w:t>
      </w:r>
      <w:r w:rsidRPr="00034B24">
        <w:rPr>
          <w:rFonts w:ascii="Calibri" w:eastAsia="Times New Roman" w:hAnsi="Calibri" w:cs="Calibri"/>
          <w:color w:val="000080"/>
          <w:sz w:val="22"/>
          <w:szCs w:val="22"/>
          <w:lang w:eastAsia="nl-NL"/>
        </w:rPr>
        <w:t>ondersteun</w:t>
      </w:r>
      <w:r w:rsidRPr="00034B24">
        <w:rPr>
          <w:rFonts w:ascii="Calibri" w:eastAsia="Times New Roman" w:hAnsi="Calibri" w:cs="Calibri"/>
          <w:color w:val="000000"/>
          <w:sz w:val="22"/>
          <w:szCs w:val="22"/>
          <w:lang w:eastAsia="nl-NL"/>
        </w:rPr>
        <w:t>t,</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voor het </w:t>
      </w:r>
      <w:proofErr w:type="spellStart"/>
      <w:r w:rsidRPr="00034B24">
        <w:rPr>
          <w:rFonts w:ascii="Calibri" w:eastAsia="Times New Roman" w:hAnsi="Calibri" w:cs="Calibri"/>
          <w:color w:val="000080"/>
          <w:sz w:val="22"/>
          <w:szCs w:val="22"/>
          <w:lang w:eastAsia="nl-NL"/>
        </w:rPr>
        <w:t>Elbedal</w:t>
      </w:r>
      <w:proofErr w:type="spellEnd"/>
      <w:r w:rsidRPr="00034B24">
        <w:rPr>
          <w:rFonts w:ascii="Calibri" w:eastAsia="Times New Roman" w:hAnsi="Calibri" w:cs="Calibri"/>
          <w:color w:val="000080"/>
          <w:sz w:val="22"/>
          <w:szCs w:val="22"/>
          <w:lang w:eastAsia="nl-NL"/>
        </w:rPr>
        <w:t> </w:t>
      </w:r>
      <w:r w:rsidRPr="00034B24">
        <w:rPr>
          <w:rFonts w:ascii="Calibri" w:eastAsia="Times New Roman" w:hAnsi="Calibri" w:cs="Calibri"/>
          <w:color w:val="000000"/>
          <w:sz w:val="22"/>
          <w:szCs w:val="22"/>
          <w:lang w:eastAsia="nl-NL"/>
        </w:rPr>
        <w:t>bij Dresden de status van erfgoed is </w:t>
      </w:r>
      <w:r w:rsidRPr="00034B24">
        <w:rPr>
          <w:rFonts w:ascii="Calibri" w:eastAsia="Times New Roman" w:hAnsi="Calibri" w:cs="Calibri"/>
          <w:color w:val="000080"/>
          <w:sz w:val="22"/>
          <w:szCs w:val="22"/>
          <w:lang w:eastAsia="nl-NL"/>
        </w:rPr>
        <w:t>ingetrokken</w:t>
      </w:r>
      <w:r w:rsidRPr="00034B24">
        <w:rPr>
          <w:rFonts w:ascii="Calibri" w:eastAsia="Times New Roman" w:hAnsi="Calibri" w:cs="Calibri"/>
          <w:color w:val="000000"/>
          <w:sz w:val="22"/>
          <w:szCs w:val="22"/>
          <w:lang w:eastAsia="nl-NL"/>
        </w:rPr>
        <w:t>,</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Nederland de </w:t>
      </w:r>
      <w:r w:rsidRPr="00034B24">
        <w:rPr>
          <w:rFonts w:ascii="Calibri" w:eastAsia="Times New Roman" w:hAnsi="Calibri" w:cs="Calibri"/>
          <w:color w:val="000080"/>
          <w:sz w:val="22"/>
          <w:szCs w:val="22"/>
          <w:lang w:eastAsia="nl-NL"/>
        </w:rPr>
        <w:t>Werelderfgoed Conventie </w:t>
      </w:r>
      <w:r w:rsidRPr="00034B24">
        <w:rPr>
          <w:rFonts w:ascii="Calibri" w:eastAsia="Times New Roman" w:hAnsi="Calibri" w:cs="Calibri"/>
          <w:color w:val="000000"/>
          <w:sz w:val="22"/>
          <w:szCs w:val="22"/>
          <w:lang w:eastAsia="nl-NL"/>
        </w:rPr>
        <w:t>(Stockholm, 1972) heeft geratificeerd,</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deze Nederland verplicht het erfgoed in stand te houden,</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behoud van Unesco werelderfgoed status rijks-top-prioriteit is en is vastgelegd in wetgeving,</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deze status een aanzienlijke economische factor is als </w:t>
      </w:r>
      <w:r w:rsidRPr="00034B24">
        <w:rPr>
          <w:rFonts w:ascii="Calibri" w:eastAsia="Times New Roman" w:hAnsi="Calibri" w:cs="Calibri"/>
          <w:color w:val="000080"/>
          <w:sz w:val="22"/>
          <w:szCs w:val="22"/>
          <w:lang w:eastAsia="nl-NL"/>
        </w:rPr>
        <w:t>toeristische </w:t>
      </w:r>
      <w:r w:rsidRPr="00034B24">
        <w:rPr>
          <w:rFonts w:ascii="Calibri" w:eastAsia="Times New Roman" w:hAnsi="Calibri" w:cs="Calibri"/>
          <w:color w:val="000000"/>
          <w:sz w:val="22"/>
          <w:szCs w:val="22"/>
          <w:lang w:eastAsia="nl-NL"/>
        </w:rPr>
        <w:t>trekpleister,</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proofErr w:type="spellStart"/>
      <w:r w:rsidRPr="00034B24">
        <w:rPr>
          <w:rFonts w:ascii="Calibri" w:eastAsia="Times New Roman" w:hAnsi="Calibri" w:cs="Calibri"/>
          <w:color w:val="000000"/>
          <w:sz w:val="22"/>
          <w:szCs w:val="22"/>
          <w:lang w:eastAsia="nl-NL"/>
        </w:rPr>
        <w:t>Icomos</w:t>
      </w:r>
      <w:proofErr w:type="spellEnd"/>
      <w:r w:rsidRPr="00034B24">
        <w:rPr>
          <w:rFonts w:ascii="Calibri" w:eastAsia="Times New Roman" w:hAnsi="Calibri" w:cs="Calibri"/>
          <w:color w:val="000000"/>
          <w:sz w:val="22"/>
          <w:szCs w:val="22"/>
          <w:lang w:eastAsia="nl-NL"/>
        </w:rPr>
        <w:t xml:space="preserve"> de Unesco adviseert op gebied van het cultuurerfgoed,</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deze adviezen richtinggevend zijn voor besluiten van het </w:t>
      </w:r>
      <w:r w:rsidRPr="00034B24">
        <w:rPr>
          <w:rFonts w:ascii="Calibri" w:eastAsia="Times New Roman" w:hAnsi="Calibri" w:cs="Calibri"/>
          <w:color w:val="000080"/>
          <w:sz w:val="22"/>
          <w:szCs w:val="22"/>
          <w:lang w:eastAsia="nl-NL"/>
        </w:rPr>
        <w:t xml:space="preserve">Unesco-Werelderfgoed </w:t>
      </w:r>
      <w:proofErr w:type="spellStart"/>
      <w:r w:rsidRPr="00034B24">
        <w:rPr>
          <w:rFonts w:ascii="Calibri" w:eastAsia="Times New Roman" w:hAnsi="Calibri" w:cs="Calibri"/>
          <w:color w:val="000080"/>
          <w:sz w:val="22"/>
          <w:szCs w:val="22"/>
          <w:lang w:eastAsia="nl-NL"/>
        </w:rPr>
        <w:t>Comite</w:t>
      </w:r>
      <w:proofErr w:type="spellEnd"/>
      <w:r w:rsidRPr="00034B24">
        <w:rPr>
          <w:rFonts w:ascii="Calibri" w:eastAsia="Times New Roman" w:hAnsi="Calibri" w:cs="Calibri"/>
          <w:color w:val="000080"/>
          <w:sz w:val="22"/>
          <w:szCs w:val="22"/>
          <w:lang w:eastAsia="nl-NL"/>
        </w:rPr>
        <w:t>́ </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hyperlink r:id="rId5" w:history="1">
        <w:r w:rsidRPr="00034B24">
          <w:rPr>
            <w:rFonts w:ascii="Calibri" w:eastAsia="Times New Roman" w:hAnsi="Calibri" w:cs="Calibri"/>
            <w:color w:val="0000FF"/>
            <w:sz w:val="22"/>
            <w:szCs w:val="22"/>
            <w:u w:val="single"/>
            <w:lang w:eastAsia="nl-NL"/>
          </w:rPr>
          <w:t>Icomos.nl</w:t>
        </w:r>
      </w:hyperlink>
      <w:r w:rsidRPr="00034B24">
        <w:rPr>
          <w:rFonts w:ascii="Calibri" w:eastAsia="Times New Roman" w:hAnsi="Calibri" w:cs="Calibri"/>
          <w:color w:val="000000"/>
          <w:sz w:val="22"/>
          <w:szCs w:val="22"/>
          <w:lang w:eastAsia="nl-NL"/>
        </w:rPr>
        <w:t> deze vertaling als </w:t>
      </w:r>
      <w:r w:rsidRPr="00034B24">
        <w:rPr>
          <w:rFonts w:ascii="Calibri" w:eastAsia="Times New Roman" w:hAnsi="Calibri" w:cs="Calibri"/>
          <w:color w:val="000080"/>
          <w:sz w:val="22"/>
          <w:szCs w:val="22"/>
          <w:lang w:eastAsia="nl-NL"/>
        </w:rPr>
        <w:t>Leidraad </w:t>
      </w:r>
      <w:r w:rsidRPr="00034B24">
        <w:rPr>
          <w:rFonts w:ascii="Calibri" w:eastAsia="Times New Roman" w:hAnsi="Calibri" w:cs="Calibri"/>
          <w:color w:val="000000"/>
          <w:sz w:val="22"/>
          <w:szCs w:val="22"/>
          <w:lang w:eastAsia="nl-NL"/>
        </w:rPr>
        <w:t>voor Heritage Impact Assessments inzake culturele werelderfgoederen heeft gepubliceerd.</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xml:space="preserve">Daarin Heritage impact Assessment ( HIA ) staat voor CHER ( Cultuur Historische Effect Rapportage ) en OUV voor </w:t>
      </w:r>
      <w:proofErr w:type="spellStart"/>
      <w:r w:rsidRPr="00034B24">
        <w:rPr>
          <w:rFonts w:ascii="Calibri" w:eastAsia="Times New Roman" w:hAnsi="Calibri" w:cs="Calibri"/>
          <w:color w:val="000000"/>
          <w:sz w:val="22"/>
          <w:szCs w:val="22"/>
          <w:lang w:eastAsia="nl-NL"/>
        </w:rPr>
        <w:t>Outstanding</w:t>
      </w:r>
      <w:proofErr w:type="spellEnd"/>
      <w:r w:rsidRPr="00034B24">
        <w:rPr>
          <w:rFonts w:ascii="Calibri" w:eastAsia="Times New Roman" w:hAnsi="Calibri" w:cs="Calibri"/>
          <w:color w:val="000000"/>
          <w:sz w:val="22"/>
          <w:szCs w:val="22"/>
          <w:lang w:eastAsia="nl-NL"/>
        </w:rPr>
        <w:t xml:space="preserve"> </w:t>
      </w:r>
      <w:proofErr w:type="spellStart"/>
      <w:r w:rsidRPr="00034B24">
        <w:rPr>
          <w:rFonts w:ascii="Calibri" w:eastAsia="Times New Roman" w:hAnsi="Calibri" w:cs="Calibri"/>
          <w:color w:val="000000"/>
          <w:sz w:val="22"/>
          <w:szCs w:val="22"/>
          <w:lang w:eastAsia="nl-NL"/>
        </w:rPr>
        <w:t>Unsiversal</w:t>
      </w:r>
      <w:proofErr w:type="spellEnd"/>
      <w:r w:rsidRPr="00034B24">
        <w:rPr>
          <w:rFonts w:ascii="Calibri" w:eastAsia="Times New Roman" w:hAnsi="Calibri" w:cs="Calibri"/>
          <w:color w:val="000000"/>
          <w:sz w:val="22"/>
          <w:szCs w:val="22"/>
          <w:lang w:eastAsia="nl-NL"/>
        </w:rPr>
        <w:t xml:space="preserve"> </w:t>
      </w:r>
      <w:proofErr w:type="spellStart"/>
      <w:r w:rsidRPr="00034B24">
        <w:rPr>
          <w:rFonts w:ascii="Calibri" w:eastAsia="Times New Roman" w:hAnsi="Calibri" w:cs="Calibri"/>
          <w:color w:val="000000"/>
          <w:sz w:val="22"/>
          <w:szCs w:val="22"/>
          <w:lang w:eastAsia="nl-NL"/>
        </w:rPr>
        <w:t>Values</w:t>
      </w:r>
      <w:proofErr w:type="spellEnd"/>
      <w:r w:rsidRPr="00034B24">
        <w:rPr>
          <w:rFonts w:ascii="Calibri" w:eastAsia="Times New Roman" w:hAnsi="Calibri" w:cs="Calibri"/>
          <w:color w:val="000000"/>
          <w:sz w:val="22"/>
          <w:szCs w:val="22"/>
          <w:lang w:eastAsia="nl-NL"/>
        </w:rPr>
        <w:t xml:space="preserve"> ofwel kernkwaliteiten ofwel UUW ( Uitzonderlijke en Universele Waarden),</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De overheid op 22 augustus 2011 het </w:t>
      </w:r>
      <w:r w:rsidRPr="00034B24">
        <w:rPr>
          <w:rFonts w:ascii="Calibri" w:eastAsia="Times New Roman" w:hAnsi="Calibri" w:cs="Calibri"/>
          <w:color w:val="000080"/>
          <w:sz w:val="22"/>
          <w:szCs w:val="22"/>
          <w:lang w:eastAsia="nl-NL"/>
        </w:rPr>
        <w:t>besluit algemene regels ruimtelijke ordening </w:t>
      </w:r>
      <w:r w:rsidRPr="00034B24">
        <w:rPr>
          <w:rFonts w:ascii="Calibri" w:eastAsia="Times New Roman" w:hAnsi="Calibri" w:cs="Calibri"/>
          <w:color w:val="000000"/>
          <w:sz w:val="22"/>
          <w:szCs w:val="22"/>
          <w:lang w:eastAsia="nl-NL"/>
        </w:rPr>
        <w:t>( BARRO ) heeft uitgevaardigd,</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xml:space="preserve">In bijlage 8 van deze </w:t>
      </w:r>
      <w:proofErr w:type="spellStart"/>
      <w:r w:rsidRPr="00034B24">
        <w:rPr>
          <w:rFonts w:ascii="Calibri" w:eastAsia="Times New Roman" w:hAnsi="Calibri" w:cs="Calibri"/>
          <w:color w:val="000000"/>
          <w:sz w:val="22"/>
          <w:szCs w:val="22"/>
          <w:lang w:eastAsia="nl-NL"/>
        </w:rPr>
        <w:t>Barro</w:t>
      </w:r>
      <w:proofErr w:type="spellEnd"/>
      <w:r w:rsidRPr="00034B24">
        <w:rPr>
          <w:rFonts w:ascii="Calibri" w:eastAsia="Times New Roman" w:hAnsi="Calibri" w:cs="Calibri"/>
          <w:color w:val="000000"/>
          <w:sz w:val="22"/>
          <w:szCs w:val="22"/>
          <w:lang w:eastAsia="nl-NL"/>
        </w:rPr>
        <w:t xml:space="preserve"> ten aanzien van de waterlinies de samenhang, de grote openheid, het groene en overwegend rustig karakter en de groene en relatief stille ring rond Amsterdam als </w:t>
      </w:r>
      <w:proofErr w:type="spellStart"/>
      <w:r w:rsidRPr="00034B24">
        <w:rPr>
          <w:rFonts w:ascii="Calibri" w:eastAsia="Times New Roman" w:hAnsi="Calibri" w:cs="Calibri"/>
          <w:color w:val="000000"/>
          <w:sz w:val="22"/>
          <w:szCs w:val="22"/>
          <w:lang w:eastAsia="nl-NL"/>
        </w:rPr>
        <w:t>kernkwalieiten</w:t>
      </w:r>
      <w:proofErr w:type="spellEnd"/>
      <w:r w:rsidRPr="00034B24">
        <w:rPr>
          <w:rFonts w:ascii="Calibri" w:eastAsia="Times New Roman" w:hAnsi="Calibri" w:cs="Calibri"/>
          <w:color w:val="000000"/>
          <w:sz w:val="22"/>
          <w:szCs w:val="22"/>
          <w:lang w:eastAsia="nl-NL"/>
        </w:rPr>
        <w:t xml:space="preserve"> benoemt,</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lastRenderedPageBreak/>
        <w:t>De leidraad voorschrijft ( art 2-1-7 ) dat bij MER-plichtige projecten in werelderfgoed deze leidraad moet worden gehanteerd</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xml:space="preserve">Deze leidraad voorschrijft ( art 2-1-6 ) dat daar waar ontwikkelingen invloed kunnen hebben op de OUV van een werelderfgoed, de kernkwaliteiten van het culturele (en/of natuurlijke) erfgoed altijd centraal moeten staan in een voorstel en deze bij iedere algemene beoordeling (bijv. een milieueffectrapportage – MER) in een vroeg stadium naar voren moeten worden gebracht. Beheerders en beleidsmakers moeten afwegen of het behoud van het erfgoed zwaarder moet wegen dan concurrerende belangen en ontwikkelingen. Centraal daarbij staat de vraag of er sprake is van een bedreiging of risico voor de </w:t>
      </w:r>
      <w:proofErr w:type="spellStart"/>
      <w:r w:rsidRPr="00034B24">
        <w:rPr>
          <w:rFonts w:ascii="Calibri" w:eastAsia="Times New Roman" w:hAnsi="Calibri" w:cs="Calibri"/>
          <w:color w:val="000000"/>
          <w:sz w:val="22"/>
          <w:szCs w:val="22"/>
          <w:lang w:eastAsia="nl-NL"/>
        </w:rPr>
        <w:t>werelderfgoedstatus</w:t>
      </w:r>
      <w:proofErr w:type="spellEnd"/>
      <w:r w:rsidRPr="00034B24">
        <w:rPr>
          <w:rFonts w:ascii="Calibri" w:eastAsia="Times New Roman" w:hAnsi="Calibri" w:cs="Calibri"/>
          <w:color w:val="000000"/>
          <w:sz w:val="22"/>
          <w:szCs w:val="22"/>
          <w:lang w:eastAsia="nl-NL"/>
        </w:rPr>
        <w:t>. In het CHER-rapport dit duidelijk moeten worden aangegeven,</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Volgens bijlage 3B van de leidraad de effectsomvang van windturbines in werelderfgoed op zijn minst als matig moet worden beoordeeld,</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Arcadis in 2018 een </w:t>
      </w:r>
      <w:r w:rsidRPr="00034B24">
        <w:rPr>
          <w:rFonts w:ascii="Calibri" w:eastAsia="Times New Roman" w:hAnsi="Calibri" w:cs="Calibri"/>
          <w:color w:val="000080"/>
          <w:sz w:val="22"/>
          <w:szCs w:val="22"/>
          <w:lang w:eastAsia="nl-NL"/>
        </w:rPr>
        <w:t>HIA rapport </w:t>
      </w:r>
      <w:r w:rsidRPr="00034B24">
        <w:rPr>
          <w:rFonts w:ascii="Calibri" w:eastAsia="Times New Roman" w:hAnsi="Calibri" w:cs="Calibri"/>
          <w:color w:val="000000"/>
          <w:sz w:val="22"/>
          <w:szCs w:val="22"/>
          <w:lang w:eastAsia="nl-NL"/>
        </w:rPr>
        <w:t>met betrekking tot de Stelling van Amsterdam heeft gepubliceerd,</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Dit rapport stelt dat ten aanzien van werelderfgoederen al het mogelijke moet worden gedaan om de kernkwaliteiten te versterken en nadelige gevolgen ervoor te voorkomen en te minimaliseren, ( p 96 )</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Volgens dit rapport ontwikkelingen met een matig effect alleen onder strenge voorwaarden (nee tenzij) te rechtvaardigen zijn, ( p 100 )</w:t>
      </w:r>
    </w:p>
    <w:p w:rsidR="00034B24" w:rsidRPr="00034B24" w:rsidRDefault="00034B24" w:rsidP="00034B24">
      <w:pPr>
        <w:numPr>
          <w:ilvl w:val="0"/>
          <w:numId w:val="1"/>
        </w:numPr>
        <w:ind w:left="1320"/>
        <w:rPr>
          <w:rFonts w:ascii="Calibri" w:eastAsia="Times New Roman" w:hAnsi="Calibri" w:cs="Calibri"/>
          <w:color w:val="000000"/>
          <w:sz w:val="22"/>
          <w:szCs w:val="22"/>
          <w:lang w:eastAsia="nl-NL"/>
        </w:rPr>
      </w:pPr>
      <w:proofErr w:type="spellStart"/>
      <w:r w:rsidRPr="00034B24">
        <w:rPr>
          <w:rFonts w:ascii="Calibri" w:eastAsia="Times New Roman" w:hAnsi="Calibri" w:cs="Calibri"/>
          <w:color w:val="000000"/>
          <w:sz w:val="22"/>
          <w:szCs w:val="22"/>
          <w:lang w:eastAsia="nl-NL"/>
        </w:rPr>
        <w:t>Één</w:t>
      </w:r>
      <w:proofErr w:type="spellEnd"/>
      <w:r w:rsidRPr="00034B24">
        <w:rPr>
          <w:rFonts w:ascii="Calibri" w:eastAsia="Times New Roman" w:hAnsi="Calibri" w:cs="Calibri"/>
          <w:color w:val="000000"/>
          <w:sz w:val="22"/>
          <w:szCs w:val="22"/>
          <w:lang w:eastAsia="nl-NL"/>
        </w:rPr>
        <w:t xml:space="preserve"> van die strenge voorwaarden behelst het op grond van zwaarwegend belang beargumenteerd uitsluiten van alternatieve opties, ( p 100 ) </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w:t>
      </w:r>
    </w:p>
    <w:p w:rsidR="00034B24" w:rsidRPr="00034B24" w:rsidRDefault="00034B24" w:rsidP="00034B24">
      <w:pPr>
        <w:rPr>
          <w:rFonts w:ascii="Calibri" w:eastAsia="Times New Roman" w:hAnsi="Calibri" w:cs="Calibri"/>
          <w:color w:val="000000"/>
          <w:sz w:val="22"/>
          <w:szCs w:val="22"/>
          <w:lang w:eastAsia="nl-NL"/>
        </w:rPr>
      </w:pPr>
      <w:r w:rsidRPr="00034B24">
        <w:rPr>
          <w:rFonts w:ascii="Calibri" w:eastAsia="Times New Roman" w:hAnsi="Calibri" w:cs="Calibri"/>
          <w:color w:val="000000"/>
          <w:sz w:val="22"/>
          <w:szCs w:val="22"/>
          <w:lang w:eastAsia="nl-NL"/>
        </w:rPr>
        <w:t> </w:t>
      </w:r>
    </w:p>
    <w:p w:rsidR="00A0411E" w:rsidRDefault="00034B24"/>
    <w:sectPr w:rsidR="00A0411E" w:rsidSect="002A340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2D0C"/>
    <w:multiLevelType w:val="multilevel"/>
    <w:tmpl w:val="D48A3FDE"/>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24"/>
    <w:rsid w:val="00034B24"/>
    <w:rsid w:val="002A3405"/>
    <w:rsid w:val="00DD16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105C2CB"/>
  <w15:chartTrackingRefBased/>
  <w15:docId w15:val="{F4B433CB-483B-864D-A6D8-FE336497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034B24"/>
  </w:style>
  <w:style w:type="character" w:styleId="Hyperlink">
    <w:name w:val="Hyperlink"/>
    <w:basedOn w:val="Standaardalinea-lettertype"/>
    <w:uiPriority w:val="99"/>
    <w:semiHidden/>
    <w:unhideWhenUsed/>
    <w:rsid w:val="00034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509472">
      <w:bodyDiv w:val="1"/>
      <w:marLeft w:val="0"/>
      <w:marRight w:val="0"/>
      <w:marTop w:val="0"/>
      <w:marBottom w:val="0"/>
      <w:divBdr>
        <w:top w:val="none" w:sz="0" w:space="0" w:color="auto"/>
        <w:left w:val="none" w:sz="0" w:space="0" w:color="auto"/>
        <w:bottom w:val="none" w:sz="0" w:space="0" w:color="auto"/>
        <w:right w:val="none" w:sz="0" w:space="0" w:color="auto"/>
      </w:divBdr>
      <w:divsChild>
        <w:div w:id="1868517680">
          <w:marLeft w:val="0"/>
          <w:marRight w:val="0"/>
          <w:marTop w:val="0"/>
          <w:marBottom w:val="0"/>
          <w:divBdr>
            <w:top w:val="none" w:sz="0" w:space="0" w:color="auto"/>
            <w:left w:val="none" w:sz="0" w:space="0" w:color="auto"/>
            <w:bottom w:val="none" w:sz="0" w:space="0" w:color="auto"/>
            <w:right w:val="none" w:sz="0" w:space="0" w:color="auto"/>
          </w:divBdr>
        </w:div>
        <w:div w:id="1317342080">
          <w:marLeft w:val="0"/>
          <w:marRight w:val="0"/>
          <w:marTop w:val="0"/>
          <w:marBottom w:val="0"/>
          <w:divBdr>
            <w:top w:val="none" w:sz="0" w:space="0" w:color="auto"/>
            <w:left w:val="none" w:sz="0" w:space="0" w:color="auto"/>
            <w:bottom w:val="none" w:sz="0" w:space="0" w:color="auto"/>
            <w:right w:val="none" w:sz="0" w:space="0" w:color="auto"/>
          </w:divBdr>
        </w:div>
        <w:div w:id="1132557257">
          <w:marLeft w:val="0"/>
          <w:marRight w:val="0"/>
          <w:marTop w:val="0"/>
          <w:marBottom w:val="0"/>
          <w:divBdr>
            <w:top w:val="none" w:sz="0" w:space="0" w:color="auto"/>
            <w:left w:val="none" w:sz="0" w:space="0" w:color="auto"/>
            <w:bottom w:val="none" w:sz="0" w:space="0" w:color="auto"/>
            <w:right w:val="none" w:sz="0" w:space="0" w:color="auto"/>
          </w:divBdr>
        </w:div>
        <w:div w:id="230315657">
          <w:marLeft w:val="0"/>
          <w:marRight w:val="0"/>
          <w:marTop w:val="0"/>
          <w:marBottom w:val="0"/>
          <w:divBdr>
            <w:top w:val="none" w:sz="0" w:space="0" w:color="auto"/>
            <w:left w:val="none" w:sz="0" w:space="0" w:color="auto"/>
            <w:bottom w:val="none" w:sz="0" w:space="0" w:color="auto"/>
            <w:right w:val="none" w:sz="0" w:space="0" w:color="auto"/>
          </w:divBdr>
        </w:div>
        <w:div w:id="1828665499">
          <w:marLeft w:val="0"/>
          <w:marRight w:val="0"/>
          <w:marTop w:val="0"/>
          <w:marBottom w:val="0"/>
          <w:divBdr>
            <w:top w:val="none" w:sz="0" w:space="0" w:color="auto"/>
            <w:left w:val="none" w:sz="0" w:space="0" w:color="auto"/>
            <w:bottom w:val="none" w:sz="0" w:space="0" w:color="auto"/>
            <w:right w:val="none" w:sz="0" w:space="0" w:color="auto"/>
          </w:divBdr>
        </w:div>
        <w:div w:id="1005209857">
          <w:marLeft w:val="0"/>
          <w:marRight w:val="0"/>
          <w:marTop w:val="0"/>
          <w:marBottom w:val="0"/>
          <w:divBdr>
            <w:top w:val="none" w:sz="0" w:space="0" w:color="auto"/>
            <w:left w:val="none" w:sz="0" w:space="0" w:color="auto"/>
            <w:bottom w:val="none" w:sz="0" w:space="0" w:color="auto"/>
            <w:right w:val="none" w:sz="0" w:space="0" w:color="auto"/>
          </w:divBdr>
        </w:div>
        <w:div w:id="1012220422">
          <w:marLeft w:val="0"/>
          <w:marRight w:val="0"/>
          <w:marTop w:val="0"/>
          <w:marBottom w:val="0"/>
          <w:divBdr>
            <w:top w:val="none" w:sz="0" w:space="0" w:color="auto"/>
            <w:left w:val="none" w:sz="0" w:space="0" w:color="auto"/>
            <w:bottom w:val="none" w:sz="0" w:space="0" w:color="auto"/>
            <w:right w:val="none" w:sz="0" w:space="0" w:color="auto"/>
          </w:divBdr>
        </w:div>
        <w:div w:id="2101439244">
          <w:marLeft w:val="0"/>
          <w:marRight w:val="0"/>
          <w:marTop w:val="0"/>
          <w:marBottom w:val="0"/>
          <w:divBdr>
            <w:top w:val="none" w:sz="0" w:space="0" w:color="auto"/>
            <w:left w:val="none" w:sz="0" w:space="0" w:color="auto"/>
            <w:bottom w:val="none" w:sz="0" w:space="0" w:color="auto"/>
            <w:right w:val="none" w:sz="0" w:space="0" w:color="auto"/>
          </w:divBdr>
        </w:div>
        <w:div w:id="1461456947">
          <w:marLeft w:val="0"/>
          <w:marRight w:val="0"/>
          <w:marTop w:val="0"/>
          <w:marBottom w:val="0"/>
          <w:divBdr>
            <w:top w:val="none" w:sz="0" w:space="0" w:color="auto"/>
            <w:left w:val="none" w:sz="0" w:space="0" w:color="auto"/>
            <w:bottom w:val="none" w:sz="0" w:space="0" w:color="auto"/>
            <w:right w:val="none" w:sz="0" w:space="0" w:color="auto"/>
          </w:divBdr>
        </w:div>
        <w:div w:id="99812089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70344956">
              <w:marLeft w:val="0"/>
              <w:marRight w:val="0"/>
              <w:marTop w:val="0"/>
              <w:marBottom w:val="0"/>
              <w:divBdr>
                <w:top w:val="none" w:sz="0" w:space="0" w:color="auto"/>
                <w:left w:val="none" w:sz="0" w:space="0" w:color="auto"/>
                <w:bottom w:val="none" w:sz="0" w:space="0" w:color="auto"/>
                <w:right w:val="none" w:sz="0" w:space="0" w:color="auto"/>
              </w:divBdr>
              <w:divsChild>
                <w:div w:id="542131666">
                  <w:marLeft w:val="0"/>
                  <w:marRight w:val="0"/>
                  <w:marTop w:val="0"/>
                  <w:marBottom w:val="0"/>
                  <w:divBdr>
                    <w:top w:val="none" w:sz="0" w:space="0" w:color="auto"/>
                    <w:left w:val="none" w:sz="0" w:space="0" w:color="auto"/>
                    <w:bottom w:val="none" w:sz="0" w:space="0" w:color="auto"/>
                    <w:right w:val="none" w:sz="0" w:space="0" w:color="auto"/>
                  </w:divBdr>
                  <w:divsChild>
                    <w:div w:id="1819373246">
                      <w:marLeft w:val="0"/>
                      <w:marRight w:val="0"/>
                      <w:marTop w:val="0"/>
                      <w:marBottom w:val="0"/>
                      <w:divBdr>
                        <w:top w:val="none" w:sz="0" w:space="0" w:color="auto"/>
                        <w:left w:val="none" w:sz="0" w:space="0" w:color="auto"/>
                        <w:bottom w:val="none" w:sz="0" w:space="0" w:color="auto"/>
                        <w:right w:val="none" w:sz="0" w:space="0" w:color="auto"/>
                      </w:divBdr>
                      <w:divsChild>
                        <w:div w:id="9477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46458">
          <w:marLeft w:val="0"/>
          <w:marRight w:val="0"/>
          <w:marTop w:val="0"/>
          <w:marBottom w:val="0"/>
          <w:divBdr>
            <w:top w:val="none" w:sz="0" w:space="0" w:color="auto"/>
            <w:left w:val="none" w:sz="0" w:space="0" w:color="auto"/>
            <w:bottom w:val="none" w:sz="0" w:space="0" w:color="auto"/>
            <w:right w:val="none" w:sz="0" w:space="0" w:color="auto"/>
          </w:divBdr>
        </w:div>
        <w:div w:id="19169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3A%2F%2Ficomos.nl%2F&amp;data=02%7C01%7C%7C5932e53b4eff48c184df08d864663105%7C84df9e7fe9f640afb435aaaaaaaaaaaa%7C1%7C0%7C637369737556860211&amp;sdata=6HJ3kllqpquqeXF%2Bcq7CvnghzNVJtL5mDHALvfBXIr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716</Words>
  <Characters>3939</Characters>
  <Application>Microsoft Office Word</Application>
  <DocSecurity>0</DocSecurity>
  <Lines>32</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2020-09-29T13:18:00Z</dcterms:created>
  <dcterms:modified xsi:type="dcterms:W3CDTF">2020-09-30T13:39:00Z</dcterms:modified>
</cp:coreProperties>
</file>